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068.0" w:type="dxa"/>
        <w:jc w:val="center"/>
        <w:tblLayout w:type="fixed"/>
        <w:tblLook w:val="0000"/>
      </w:tblPr>
      <w:tblGrid>
        <w:gridCol w:w="2015"/>
        <w:gridCol w:w="6840"/>
        <w:gridCol w:w="1213"/>
        <w:tblGridChange w:id="0">
          <w:tblGrid>
            <w:gridCol w:w="2015"/>
            <w:gridCol w:w="6840"/>
            <w:gridCol w:w="1213"/>
          </w:tblGrid>
        </w:tblGridChange>
      </w:tblGrid>
      <w:tr>
        <w:trPr>
          <w:trHeight w:val="1420" w:hRule="atLeast"/>
        </w:trPr>
        <w:tc>
          <w:tcPr>
            <w:vAlign w:val="center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  <w:drawing>
                <wp:inline distB="0" distT="0" distL="114300" distR="114300">
                  <wp:extent cx="1115695" cy="723265"/>
                  <wp:effectExtent b="0" l="0" r="0" t="0"/>
                  <wp:docPr id="1" name="image1.jpg"/>
                  <a:graphic>
                    <a:graphicData uri="http://schemas.openxmlformats.org/drawingml/2006/picture">
                      <pic:pic>
                        <pic:nvPicPr>
                          <pic:cNvPr id="0" name="image1.jpg"/>
                          <pic:cNvPicPr preferRelativeResize="0"/>
                        </pic:nvPicPr>
                        <pic:blipFill>
                          <a:blip r:embed="rId6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5695" cy="723265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3">
            <w:pPr>
              <w:keepNext w:val="1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ahoma" w:cs="Tahoma" w:eastAsia="Tahoma" w:hAnsi="Tahoma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Ministero dell’istruzione, dell’Università e della Ricerca</w:t>
            </w:r>
          </w:p>
          <w:p w:rsidR="00000000" w:rsidDel="00000000" w:rsidP="00000000" w:rsidRDefault="00000000" w:rsidRPr="00000000" w14:paraId="0000000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Liceo Classico Statale </w:t>
            </w:r>
            <w:r w:rsidDel="00000000" w:rsidR="00000000" w:rsidRPr="00000000">
              <w:rPr>
                <w:rFonts w:ascii="Tahoma" w:cs="Tahoma" w:eastAsia="Tahoma" w:hAnsi="Tahoma"/>
                <w:b w:val="1"/>
                <w:i w:val="1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Paolo Sarpi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Piazza Rosate, 4  24129  Bergamo tel. 035 237476  Fax 035 223594</w:t>
            </w:r>
          </w:p>
          <w:p w:rsidR="00000000" w:rsidDel="00000000" w:rsidP="00000000" w:rsidRDefault="00000000" w:rsidRPr="00000000" w14:paraId="0000000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email: </w:t>
            </w:r>
            <w:hyperlink r:id="rId7">
              <w:r w:rsidDel="00000000" w:rsidR="00000000" w:rsidRPr="00000000">
                <w:rPr>
                  <w:rFonts w:ascii="Tahoma" w:cs="Tahoma" w:eastAsia="Tahoma" w:hAnsi="Tahoma"/>
                  <w:b w:val="0"/>
                  <w:i w:val="0"/>
                  <w:smallCaps w:val="0"/>
                  <w:strike w:val="0"/>
                  <w:color w:val="0000ff"/>
                  <w:sz w:val="22"/>
                  <w:szCs w:val="22"/>
                  <w:u w:val="single"/>
                  <w:shd w:fill="auto" w:val="clear"/>
                  <w:vertAlign w:val="baseline"/>
                  <w:rtl w:val="0"/>
                </w:rPr>
                <w:t xml:space="preserve">bgpc02000c@istruzione.it</w:t>
              </w:r>
            </w:hyperlink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 pec: </w:t>
            </w:r>
            <w:hyperlink r:id="rId8">
              <w:r w:rsidDel="00000000" w:rsidR="00000000" w:rsidRPr="00000000">
                <w:rPr>
                  <w:rFonts w:ascii="Tahoma" w:cs="Tahoma" w:eastAsia="Tahoma" w:hAnsi="Tahoma"/>
                  <w:b w:val="0"/>
                  <w:i w:val="0"/>
                  <w:smallCaps w:val="0"/>
                  <w:strike w:val="0"/>
                  <w:color w:val="0000ff"/>
                  <w:sz w:val="22"/>
                  <w:szCs w:val="22"/>
                  <w:u w:val="single"/>
                  <w:shd w:fill="auto" w:val="clear"/>
                  <w:vertAlign w:val="baseline"/>
                  <w:rtl w:val="0"/>
                </w:rPr>
                <w:t xml:space="preserve">bgpc02000c@pec.istruzione.it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www.liceosarpi.bg.it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  <w:drawing>
                <wp:inline distB="0" distT="0" distL="114300" distR="114300">
                  <wp:extent cx="603885" cy="677545"/>
                  <wp:effectExtent b="0" l="0" r="0" t="0"/>
                  <wp:docPr id="2" name="image2.jpg"/>
                  <a:graphic>
                    <a:graphicData uri="http://schemas.openxmlformats.org/drawingml/2006/picture">
                      <pic:pic>
                        <pic:nvPicPr>
                          <pic:cNvPr id="0" name="image2.jpg"/>
                          <pic:cNvPicPr preferRelativeResize="0"/>
                        </pic:nvPicPr>
                        <pic:blipFill>
                          <a:blip r:embed="rId9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3885" cy="677545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779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259"/>
        <w:gridCol w:w="6520"/>
        <w:tblGridChange w:id="0">
          <w:tblGrid>
            <w:gridCol w:w="3259"/>
            <w:gridCol w:w="6520"/>
          </w:tblGrid>
        </w:tblGridChange>
      </w:tblGrid>
      <w:tr>
        <w:tc>
          <w:tcPr>
            <w:gridSpan w:val="2"/>
            <w:vAlign w:val="top"/>
          </w:tcPr>
          <w:p w:rsidR="00000000" w:rsidDel="00000000" w:rsidP="00000000" w:rsidRDefault="00000000" w:rsidRPr="00000000" w14:paraId="0000000B">
            <w:pPr>
              <w:keepNext w:val="1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C">
            <w:pPr>
              <w:keepNext w:val="1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A.S. 201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8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/ 201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9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PROGRAMMA SVOLTO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CLASSE  IV   SEZ. C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MATERIA  CHIMICA e BIOLOGIA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PROF. Emanuela Benzoni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000" w:hRule="atLeast"/>
        </w:trPr>
        <w:tc>
          <w:tcPr>
            <w:vAlign w:val="center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CONTENUTI </w:t>
            </w:r>
          </w:p>
          <w:p w:rsidR="00000000" w:rsidDel="00000000" w:rsidP="00000000" w:rsidRDefault="00000000" w:rsidRPr="00000000" w14:paraId="0000001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CHIMICA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single"/>
                <w:shd w:fill="auto" w:val="clear"/>
                <w:vertAlign w:val="baseline"/>
                <w:rtl w:val="0"/>
              </w:rPr>
              <w:t xml:space="preserve">Le soluzioni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Definizione di soluzione e di solubilità. La concentrazione delle soluzioni. Le concentrazioni percentuali ( % massa/massa, % massa/volume, % volume/volume ). La concentrazione molare. La concentrazione molale ed esercizi relativi. Il processo di solvatazione e idratazione. Elettroliti:dissociazione e ionizzazione. Le proprietà colligative.</w:t>
            </w:r>
          </w:p>
          <w:p w:rsidR="00000000" w:rsidDel="00000000" w:rsidP="00000000" w:rsidRDefault="00000000" w:rsidRPr="00000000" w14:paraId="0000001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single"/>
                <w:shd w:fill="auto" w:val="clear"/>
                <w:vertAlign w:val="baseline"/>
                <w:rtl w:val="0"/>
              </w:rPr>
              <w:t xml:space="preserve">Le reazioni chimiche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 reagenti, i prodotti e le trasformazioni chimiche. Principali tipi di reazione: reazione di sintesi, di decomposizione, di sostituzione, di doppio scambio. Le reazioni di ossido-riduzione (redox). L’attuale interpretazione del concetto di ossidazione e riduzione. Il bilanciamento delle reazioni redox in forma molecolare.</w:t>
            </w:r>
          </w:p>
          <w:p w:rsidR="00000000" w:rsidDel="00000000" w:rsidP="00000000" w:rsidRDefault="00000000" w:rsidRPr="00000000" w14:paraId="0000002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single"/>
                <w:shd w:fill="auto" w:val="clear"/>
                <w:vertAlign w:val="baseline"/>
                <w:rtl w:val="0"/>
              </w:rPr>
              <w:t xml:space="preserve">Cinetica chimica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La velocità di reazione. I fattori che influenzano la velocità di una reazione: la natura dei reagenti, la temperatura, la presenza di catalizzatori e lo stato di suddivisione dei reagenti. La meccanica di una reazione: la teoria delle collisioni e l’energia di attivazione.</w:t>
            </w:r>
          </w:p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single"/>
                <w:shd w:fill="auto" w:val="clear"/>
                <w:vertAlign w:val="baseline"/>
                <w:rtl w:val="0"/>
              </w:rPr>
              <w:t xml:space="preserve">Equilibrio chimico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Reazioni reversibili e irreversibili. La legge dell’azione di massa. Costante di equilibrio in funzione della concentrazione, della pressione e del numero di moli. Il principio di Le Chatelier e lo spostamento dell’equilibrio. </w:t>
            </w:r>
          </w:p>
          <w:p w:rsidR="00000000" w:rsidDel="00000000" w:rsidP="00000000" w:rsidRDefault="00000000" w:rsidRPr="00000000" w14:paraId="0000002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single"/>
                <w:shd w:fill="auto" w:val="clear"/>
                <w:vertAlign w:val="baseline"/>
                <w:rtl w:val="0"/>
              </w:rPr>
              <w:t xml:space="preserve">Gli acidi e le basi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Le teorie sugli acidi e sulle basi,la ionizzazione dell’acqua,il pH e la forza degli acidi e delle basi</w:t>
            </w:r>
          </w:p>
          <w:p w:rsidR="00000000" w:rsidDel="00000000" w:rsidP="00000000" w:rsidRDefault="00000000" w:rsidRPr="00000000" w14:paraId="0000002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u w:val="single"/>
                <w:rtl w:val="0"/>
              </w:rPr>
              <w:t xml:space="preserve">Le redox</w:t>
            </w:r>
          </w:p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definizione </w:t>
            </w:r>
          </w:p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le semireazione: individuazione</w:t>
            </w:r>
          </w:p>
          <w:p w:rsidR="00000000" w:rsidDel="00000000" w:rsidP="00000000" w:rsidRDefault="00000000" w:rsidRPr="00000000" w14:paraId="0000002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BIOLOGIA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single"/>
                <w:shd w:fill="auto" w:val="clear"/>
                <w:vertAlign w:val="baseline"/>
                <w:rtl w:val="0"/>
              </w:rPr>
              <w:t xml:space="preserve">La pluricellularità negli animali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Dalla cellula al corpo pluricellulare,i tessuti negli animali adulti: tessuto epiteliale, tessuto connettivo, tessuti muscolari e nervoso</w:t>
            </w:r>
          </w:p>
          <w:p w:rsidR="00000000" w:rsidDel="00000000" w:rsidP="00000000" w:rsidRDefault="00000000" w:rsidRPr="00000000" w14:paraId="0000003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L’omeostasi</w:t>
            </w:r>
          </w:p>
          <w:p w:rsidR="00000000" w:rsidDel="00000000" w:rsidP="00000000" w:rsidRDefault="00000000" w:rsidRPr="00000000" w14:paraId="0000003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single"/>
                <w:shd w:fill="auto" w:val="clear"/>
                <w:vertAlign w:val="baseline"/>
                <w:rtl w:val="0"/>
              </w:rPr>
              <w:t xml:space="preserve">Il sistema endocrino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gli ormoni </w:t>
            </w:r>
          </w:p>
          <w:p w:rsidR="00000000" w:rsidDel="00000000" w:rsidP="00000000" w:rsidRDefault="00000000" w:rsidRPr="00000000" w14:paraId="0000003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diversità nel meccanismo di azione </w:t>
            </w:r>
          </w:p>
          <w:p w:rsidR="00000000" w:rsidDel="00000000" w:rsidP="00000000" w:rsidRDefault="00000000" w:rsidRPr="00000000" w14:paraId="0000003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ghiandole esocrine ed endocrine</w:t>
            </w:r>
          </w:p>
          <w:p w:rsidR="00000000" w:rsidDel="00000000" w:rsidP="00000000" w:rsidRDefault="00000000" w:rsidRPr="00000000" w14:paraId="0000003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gli organi del sistema endocrino e gli ormoni prodotti</w:t>
            </w:r>
          </w:p>
          <w:p w:rsidR="00000000" w:rsidDel="00000000" w:rsidP="00000000" w:rsidRDefault="00000000" w:rsidRPr="00000000" w14:paraId="0000003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u w:val="single"/>
                <w:rtl w:val="0"/>
              </w:rPr>
              <w:t xml:space="preserve">il sistema nervoso </w:t>
            </w:r>
          </w:p>
          <w:p w:rsidR="00000000" w:rsidDel="00000000" w:rsidP="00000000" w:rsidRDefault="00000000" w:rsidRPr="00000000" w14:paraId="0000003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organizzazione del sistema nervoso</w:t>
            </w:r>
          </w:p>
          <w:p w:rsidR="00000000" w:rsidDel="00000000" w:rsidP="00000000" w:rsidRDefault="00000000" w:rsidRPr="00000000" w14:paraId="0000003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il sistema nervoso centrale e periferico</w:t>
            </w:r>
          </w:p>
          <w:p w:rsidR="00000000" w:rsidDel="00000000" w:rsidP="00000000" w:rsidRDefault="00000000" w:rsidRPr="00000000" w14:paraId="0000003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dallo stimolo al potenziale d’azione</w:t>
            </w:r>
          </w:p>
          <w:p w:rsidR="00000000" w:rsidDel="00000000" w:rsidP="00000000" w:rsidRDefault="00000000" w:rsidRPr="00000000" w14:paraId="0000003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le sinapsi</w:t>
            </w:r>
          </w:p>
          <w:p w:rsidR="00000000" w:rsidDel="00000000" w:rsidP="00000000" w:rsidRDefault="00000000" w:rsidRPr="00000000" w14:paraId="0000004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i neurotrasmetitori</w:t>
            </w:r>
          </w:p>
          <w:p w:rsidR="00000000" w:rsidDel="00000000" w:rsidP="00000000" w:rsidRDefault="00000000" w:rsidRPr="00000000" w14:paraId="0000004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sz w:val="24"/>
                <w:szCs w:val="24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single"/>
                <w:shd w:fill="auto" w:val="clear"/>
                <w:vertAlign w:val="baseline"/>
                <w:rtl w:val="0"/>
              </w:rPr>
              <w:t xml:space="preserve">Il sangue e l’apparato circolatorio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La composizione del sangue. La parte corpus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colata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del sangue. Il percorso del sangue. Le due circolazioni. Il cuore e la sua struttura. La struttura dei vasi sanguigni.</w:t>
            </w:r>
          </w:p>
          <w:p w:rsidR="00000000" w:rsidDel="00000000" w:rsidP="00000000" w:rsidRDefault="00000000" w:rsidRPr="00000000" w14:paraId="0000004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Il cuore in funzione. Pressione sanguigna e regolazione del flusso.</w:t>
            </w:r>
          </w:p>
          <w:p w:rsidR="00000000" w:rsidDel="00000000" w:rsidP="00000000" w:rsidRDefault="00000000" w:rsidRPr="00000000" w14:paraId="0000004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cenni al sistema immunitario</w:t>
            </w:r>
          </w:p>
          <w:p w:rsidR="00000000" w:rsidDel="00000000" w:rsidP="00000000" w:rsidRDefault="00000000" w:rsidRPr="00000000" w14:paraId="0000004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u w:val="single"/>
                <w:rtl w:val="0"/>
              </w:rPr>
              <w:t xml:space="preserve">il sistema escretore</w:t>
            </w:r>
          </w:p>
          <w:p w:rsidR="00000000" w:rsidDel="00000000" w:rsidP="00000000" w:rsidRDefault="00000000" w:rsidRPr="00000000" w14:paraId="0000004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i reni</w:t>
            </w:r>
          </w:p>
          <w:p w:rsidR="00000000" w:rsidDel="00000000" w:rsidP="00000000" w:rsidRDefault="00000000" w:rsidRPr="00000000" w14:paraId="0000004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il glomerulo renale e le sue funzioni</w:t>
            </w:r>
          </w:p>
          <w:p w:rsidR="00000000" w:rsidDel="00000000" w:rsidP="00000000" w:rsidRDefault="00000000" w:rsidRPr="00000000" w14:paraId="0000004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formazione dell’urina</w:t>
            </w:r>
          </w:p>
          <w:p w:rsidR="00000000" w:rsidDel="00000000" w:rsidP="00000000" w:rsidRDefault="00000000" w:rsidRPr="00000000" w14:paraId="0000004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sz w:val="24"/>
                <w:szCs w:val="24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u w:val="single"/>
                <w:rtl w:val="0"/>
              </w:rPr>
              <w:t xml:space="preserve">il sistema respiratorio</w:t>
            </w:r>
          </w:p>
          <w:p w:rsidR="00000000" w:rsidDel="00000000" w:rsidP="00000000" w:rsidRDefault="00000000" w:rsidRPr="00000000" w14:paraId="0000004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funzione e struttura dei polmoni</w:t>
            </w:r>
          </w:p>
          <w:p w:rsidR="00000000" w:rsidDel="00000000" w:rsidP="00000000" w:rsidRDefault="00000000" w:rsidRPr="00000000" w14:paraId="0000004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le vie aeree superiori ed inferiori</w:t>
            </w:r>
          </w:p>
          <w:p w:rsidR="00000000" w:rsidDel="00000000" w:rsidP="00000000" w:rsidRDefault="00000000" w:rsidRPr="00000000" w14:paraId="0000004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lo scambio gassoso</w:t>
            </w:r>
          </w:p>
          <w:p w:rsidR="00000000" w:rsidDel="00000000" w:rsidP="00000000" w:rsidRDefault="00000000" w:rsidRPr="00000000" w14:paraId="0000005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u w:val="single"/>
                <w:rtl w:val="0"/>
              </w:rPr>
              <w:t xml:space="preserve">Apparato genitale maschile e femminile </w:t>
            </w:r>
          </w:p>
          <w:p w:rsidR="00000000" w:rsidDel="00000000" w:rsidP="00000000" w:rsidRDefault="00000000" w:rsidRPr="00000000" w14:paraId="0000005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anatomia e fisiologia dell’apparato genitale.</w:t>
            </w:r>
          </w:p>
          <w:p w:rsidR="00000000" w:rsidDel="00000000" w:rsidP="00000000" w:rsidRDefault="00000000" w:rsidRPr="00000000" w14:paraId="0000005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il ciclo mestruale</w:t>
            </w:r>
          </w:p>
          <w:p w:rsidR="00000000" w:rsidDel="00000000" w:rsidP="00000000" w:rsidRDefault="00000000" w:rsidRPr="00000000" w14:paraId="0000005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u w:val="single"/>
                <w:rtl w:val="0"/>
              </w:rPr>
              <w:t xml:space="preserve">Malattia a trasmissione sessuale</w:t>
            </w:r>
          </w:p>
          <w:p w:rsidR="00000000" w:rsidDel="00000000" w:rsidP="00000000" w:rsidRDefault="00000000" w:rsidRPr="00000000" w14:paraId="0000005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approfondimento </w:t>
            </w:r>
          </w:p>
          <w:p w:rsidR="00000000" w:rsidDel="00000000" w:rsidP="00000000" w:rsidRDefault="00000000" w:rsidRPr="00000000" w14:paraId="0000005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u w:val="single"/>
                <w:rtl w:val="0"/>
              </w:rPr>
              <w:t xml:space="preserve">La chimica organica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i gruppi funzionali e peculiarità</w:t>
            </w:r>
          </w:p>
          <w:p w:rsidR="00000000" w:rsidDel="00000000" w:rsidP="00000000" w:rsidRDefault="00000000" w:rsidRPr="00000000" w14:paraId="0000005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Lavoro estivo: </w:t>
      </w:r>
    </w:p>
    <w:p w:rsidR="00000000" w:rsidDel="00000000" w:rsidP="00000000" w:rsidRDefault="00000000" w:rsidRPr="00000000" w14:paraId="00000062">
      <w:pPr>
        <w:rPr>
          <w:rFonts w:ascii="Arial" w:cs="Arial" w:eastAsia="Arial" w:hAnsi="Arial"/>
          <w:sz w:val="24"/>
          <w:szCs w:val="24"/>
          <w:u w:val="single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u w:val="single"/>
          <w:rtl w:val="0"/>
        </w:rPr>
        <w:t xml:space="preserve">L’apparato digerente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la nutrizione </w:t>
      </w:r>
    </w:p>
    <w:p w:rsidR="00000000" w:rsidDel="00000000" w:rsidP="00000000" w:rsidRDefault="00000000" w:rsidRPr="00000000" w14:paraId="00000064">
      <w:pPr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anatomia e fisiologia degli organi </w:t>
      </w:r>
    </w:p>
    <w:p w:rsidR="00000000" w:rsidDel="00000000" w:rsidP="00000000" w:rsidRDefault="00000000" w:rsidRPr="00000000" w14:paraId="00000065">
      <w:pPr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importanza di fegato e pancreas</w:t>
      </w:r>
    </w:p>
    <w:p w:rsidR="00000000" w:rsidDel="00000000" w:rsidP="00000000" w:rsidRDefault="00000000" w:rsidRPr="00000000" w14:paraId="0000006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6839" w:w="11907"/>
      <w:pgMar w:bottom="899" w:top="719" w:left="1134" w:right="1134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  <w:font w:name="Tahoma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2.jpg"/><Relationship Id="rId5" Type="http://schemas.openxmlformats.org/officeDocument/2006/relationships/styles" Target="styles.xml"/><Relationship Id="rId6" Type="http://schemas.openxmlformats.org/officeDocument/2006/relationships/image" Target="media/image1.jpg"/><Relationship Id="rId7" Type="http://schemas.openxmlformats.org/officeDocument/2006/relationships/hyperlink" Target="mailto:bgpc02000c@istruzione.it" TargetMode="External"/><Relationship Id="rId8" Type="http://schemas.openxmlformats.org/officeDocument/2006/relationships/hyperlink" Target="mailto:bgpc02000c@pec.istruzione.it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Tahoma-regular.ttf"/><Relationship Id="rId2" Type="http://schemas.openxmlformats.org/officeDocument/2006/relationships/font" Target="fonts/Tahoma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