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sdt>
      <w:sdtPr>
        <w:tag w:val="goog_rdk_0"/>
      </w:sdtPr>
      <w:sdtContent>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dtContent>
    </w:sdt>
    <w:tbl>
      <w:tblPr>
        <w:tblStyle w:val="Table1"/>
        <w:tblW w:w="10068.0" w:type="dxa"/>
        <w:jc w:val="center"/>
        <w:tblLayout w:type="fixed"/>
        <w:tblLook w:val="0000"/>
      </w:tblPr>
      <w:tblGrid>
        <w:gridCol w:w="2015"/>
        <w:gridCol w:w="6840"/>
        <w:gridCol w:w="1213"/>
        <w:tblGridChange w:id="0">
          <w:tblGrid>
            <w:gridCol w:w="2015"/>
            <w:gridCol w:w="6840"/>
            <w:gridCol w:w="1213"/>
          </w:tblGrid>
        </w:tblGridChange>
      </w:tblGrid>
      <w:tr>
        <w:trPr>
          <w:trHeight w:val="1420" w:hRule="atLeast"/>
        </w:trPr>
        <w:tc>
          <w:tcPr>
            <w:vAlign w:val="center"/>
          </w:tcPr>
          <w:sdt>
            <w:sdtPr>
              <w:tag w:val="goog_rdk_1"/>
            </w:sdtPr>
            <w:sdtContent>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114300" distR="114300">
                      <wp:extent cx="1115695" cy="723265"/>
                      <wp:effectExtent b="0" l="0" r="0" t="0"/>
                      <wp:docPr id="1027"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115695" cy="723265"/>
                              </a:xfrm>
                              <a:prstGeom prst="rect"/>
                              <a:ln/>
                            </pic:spPr>
                          </pic:pic>
                        </a:graphicData>
                      </a:graphic>
                    </wp:inline>
                  </w:drawing>
                </w:r>
                <w:r w:rsidDel="00000000" w:rsidR="00000000" w:rsidRPr="00000000">
                  <w:rPr>
                    <w:rtl w:val="0"/>
                  </w:rPr>
                </w:r>
              </w:p>
            </w:sdtContent>
          </w:sdt>
        </w:tc>
        <w:tc>
          <w:tcPr>
            <w:vAlign w:val="top"/>
          </w:tcPr>
          <w:sdt>
            <w:sdtPr>
              <w:tag w:val="goog_rdk_2"/>
            </w:sdtPr>
            <w:sdtContent>
              <w:p w:rsidR="00000000" w:rsidDel="00000000" w:rsidP="00000000" w:rsidRDefault="00000000" w:rsidRPr="00000000" w14:paraId="0000000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Ministero dell’istruzione, dell’Università e della Ricerca</w:t>
                </w:r>
              </w:p>
            </w:sdtContent>
          </w:sdt>
          <w:sdt>
            <w:sdtPr>
              <w:tag w:val="goog_rdk_3"/>
            </w:sdtPr>
            <w:sdtContent>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8"/>
                    <w:szCs w:val="28"/>
                    <w:u w:val="none"/>
                    <w:shd w:fill="auto" w:val="clear"/>
                    <w:vertAlign w:val="baseline"/>
                  </w:rPr>
                </w:pPr>
                <w:r w:rsidDel="00000000" w:rsidR="00000000" w:rsidRPr="00000000">
                  <w:rPr>
                    <w:rFonts w:ascii="Tahoma" w:cs="Tahoma" w:eastAsia="Tahoma" w:hAnsi="Tahoma"/>
                    <w:b w:val="1"/>
                    <w:i w:val="0"/>
                    <w:smallCaps w:val="0"/>
                    <w:strike w:val="0"/>
                    <w:color w:val="000000"/>
                    <w:sz w:val="28"/>
                    <w:szCs w:val="28"/>
                    <w:u w:val="none"/>
                    <w:shd w:fill="auto" w:val="clear"/>
                    <w:vertAlign w:val="baseline"/>
                    <w:rtl w:val="0"/>
                  </w:rPr>
                  <w:t xml:space="preserve">Liceo Classico Statale </w:t>
                </w:r>
                <w:r w:rsidDel="00000000" w:rsidR="00000000" w:rsidRPr="00000000">
                  <w:rPr>
                    <w:rFonts w:ascii="Tahoma" w:cs="Tahoma" w:eastAsia="Tahoma" w:hAnsi="Tahoma"/>
                    <w:b w:val="1"/>
                    <w:i w:val="1"/>
                    <w:smallCaps w:val="0"/>
                    <w:strike w:val="0"/>
                    <w:color w:val="000000"/>
                    <w:sz w:val="28"/>
                    <w:szCs w:val="28"/>
                    <w:u w:val="none"/>
                    <w:shd w:fill="auto" w:val="clear"/>
                    <w:vertAlign w:val="baseline"/>
                    <w:rtl w:val="0"/>
                  </w:rPr>
                  <w:t xml:space="preserve">Paolo Sarpi</w:t>
                </w:r>
                <w:r w:rsidDel="00000000" w:rsidR="00000000" w:rsidRPr="00000000">
                  <w:rPr>
                    <w:rtl w:val="0"/>
                  </w:rPr>
                </w:r>
              </w:p>
            </w:sdtContent>
          </w:sdt>
          <w:sdt>
            <w:sdtPr>
              <w:tag w:val="goog_rdk_4"/>
            </w:sdtPr>
            <w:sdtContent>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Piazza Rosate, 4  24129  Bergamo tel. 035 237476  Fax 035 223594</w:t>
                </w:r>
              </w:p>
            </w:sdtContent>
          </w:sdt>
          <w:sdt>
            <w:sdtPr>
              <w:tag w:val="goog_rdk_5"/>
            </w:sdtPr>
            <w:sdtContent>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email: </w:t>
                </w:r>
                <w:hyperlink r:id="rId8">
                  <w:r w:rsidDel="00000000" w:rsidR="00000000" w:rsidRPr="00000000">
                    <w:rPr>
                      <w:rFonts w:ascii="Tahoma" w:cs="Tahoma" w:eastAsia="Tahoma" w:hAnsi="Tahoma"/>
                      <w:b w:val="0"/>
                      <w:i w:val="0"/>
                      <w:smallCaps w:val="0"/>
                      <w:strike w:val="0"/>
                      <w:color w:val="0000ff"/>
                      <w:sz w:val="22"/>
                      <w:szCs w:val="22"/>
                      <w:u w:val="single"/>
                      <w:shd w:fill="auto" w:val="clear"/>
                      <w:vertAlign w:val="baseline"/>
                      <w:rtl w:val="0"/>
                    </w:rPr>
                    <w:t xml:space="preserve">bgpc02000c@istruzione.it</w:t>
                  </w:r>
                </w:hyperlink>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pec: </w:t>
                </w:r>
                <w:hyperlink r:id="rId9">
                  <w:r w:rsidDel="00000000" w:rsidR="00000000" w:rsidRPr="00000000">
                    <w:rPr>
                      <w:rFonts w:ascii="Tahoma" w:cs="Tahoma" w:eastAsia="Tahoma" w:hAnsi="Tahoma"/>
                      <w:b w:val="0"/>
                      <w:i w:val="0"/>
                      <w:smallCaps w:val="0"/>
                      <w:strike w:val="0"/>
                      <w:color w:val="0000ff"/>
                      <w:sz w:val="22"/>
                      <w:szCs w:val="22"/>
                      <w:u w:val="single"/>
                      <w:shd w:fill="auto" w:val="clear"/>
                      <w:vertAlign w:val="baseline"/>
                      <w:rtl w:val="0"/>
                    </w:rPr>
                    <w:t xml:space="preserve">bgpc02000c@pec.istruzione.it</w:t>
                  </w:r>
                </w:hyperlink>
                <w:r w:rsidDel="00000000" w:rsidR="00000000" w:rsidRPr="00000000">
                  <w:rPr>
                    <w:rtl w:val="0"/>
                  </w:rPr>
                </w:r>
              </w:p>
            </w:sdtContent>
          </w:sdt>
          <w:sdt>
            <w:sdtPr>
              <w:tag w:val="goog_rdk_6"/>
            </w:sdtPr>
            <w:sdtContent>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www.liceosarpi.bg.it</w:t>
                </w:r>
                <w:r w:rsidDel="00000000" w:rsidR="00000000" w:rsidRPr="00000000">
                  <w:rPr>
                    <w:rtl w:val="0"/>
                  </w:rPr>
                </w:r>
              </w:p>
            </w:sdtContent>
          </w:sdt>
        </w:tc>
        <w:tc>
          <w:tcPr>
            <w:vAlign w:val="center"/>
          </w:tcPr>
          <w:sdt>
            <w:sdtPr>
              <w:tag w:val="goog_rdk_7"/>
            </w:sdtPr>
            <w:sdtContent>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114300" distR="114300">
                      <wp:extent cx="603885" cy="677545"/>
                      <wp:effectExtent b="0" l="0" r="0" t="0"/>
                      <wp:docPr id="1028"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603885" cy="677545"/>
                              </a:xfrm>
                              <a:prstGeom prst="rect"/>
                              <a:ln/>
                            </pic:spPr>
                          </pic:pic>
                        </a:graphicData>
                      </a:graphic>
                    </wp:inline>
                  </w:drawing>
                </w:r>
                <w:r w:rsidDel="00000000" w:rsidR="00000000" w:rsidRPr="00000000">
                  <w:rPr>
                    <w:rtl w:val="0"/>
                  </w:rPr>
                </w:r>
              </w:p>
            </w:sdtContent>
          </w:sdt>
        </w:tc>
      </w:tr>
    </w:tbl>
    <w:sdt>
      <w:sdtPr>
        <w:tag w:val="goog_rdk_8"/>
      </w:sdtPr>
      <w:sdtContent>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9"/>
      </w:sdtPr>
      <w:sdtContent>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tbl>
      <w:tblPr>
        <w:tblStyle w:val="Table2"/>
        <w:tblW w:w="977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59"/>
        <w:gridCol w:w="6520"/>
        <w:tblGridChange w:id="0">
          <w:tblGrid>
            <w:gridCol w:w="3259"/>
            <w:gridCol w:w="6520"/>
          </w:tblGrid>
        </w:tblGridChange>
      </w:tblGrid>
      <w:tr>
        <w:tc>
          <w:tcPr>
            <w:gridSpan w:val="2"/>
            <w:vAlign w:val="top"/>
          </w:tcPr>
          <w:sdt>
            <w:sdtPr>
              <w:tag w:val="goog_rdk_10"/>
            </w:sdtPr>
            <w:sdtContent>
              <w:p w:rsidR="00000000" w:rsidDel="00000000" w:rsidP="00000000" w:rsidRDefault="00000000" w:rsidRPr="00000000" w14:paraId="0000000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11"/>
            </w:sdtPr>
            <w:sdtContent>
              <w:p w:rsidR="00000000" w:rsidDel="00000000" w:rsidP="00000000" w:rsidRDefault="00000000" w:rsidRPr="00000000" w14:paraId="0000000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 201</w:t>
                </w:r>
                <w:r w:rsidDel="00000000" w:rsidR="00000000" w:rsidRPr="00000000">
                  <w:rPr>
                    <w:rFonts w:ascii="Arial" w:cs="Arial" w:eastAsia="Arial" w:hAnsi="Arial"/>
                    <w:b w:val="1"/>
                    <w:sz w:val="24"/>
                    <w:szCs w:val="24"/>
                    <w:rtl w:val="0"/>
                  </w:rPr>
                  <w:t xml:space="preserve">8</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 201</w:t>
                </w:r>
                <w:r w:rsidDel="00000000" w:rsidR="00000000" w:rsidRPr="00000000">
                  <w:rPr>
                    <w:rFonts w:ascii="Arial" w:cs="Arial" w:eastAsia="Arial" w:hAnsi="Arial"/>
                    <w:b w:val="1"/>
                    <w:sz w:val="24"/>
                    <w:szCs w:val="24"/>
                    <w:rtl w:val="0"/>
                  </w:rPr>
                  <w:t xml:space="preserve">9</w:t>
                </w:r>
                <w:r w:rsidDel="00000000" w:rsidR="00000000" w:rsidRPr="00000000">
                  <w:rPr>
                    <w:rtl w:val="0"/>
                  </w:rPr>
                </w:r>
              </w:p>
            </w:sdtContent>
          </w:sdt>
          <w:sdt>
            <w:sdtPr>
              <w:tag w:val="goog_rdk_12"/>
            </w:sdtPr>
            <w:sdtContent>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13"/>
            </w:sdtPr>
            <w:sdtContent>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PROGRAMMA SVOLTO</w:t>
                </w:r>
                <w:r w:rsidDel="00000000" w:rsidR="00000000" w:rsidRPr="00000000">
                  <w:rPr>
                    <w:rtl w:val="0"/>
                  </w:rPr>
                </w:r>
              </w:p>
            </w:sdtContent>
          </w:sdt>
          <w:sdt>
            <w:sdtPr>
              <w:tag w:val="goog_rdk_14"/>
            </w:sdtPr>
            <w:sdtContent>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15"/>
            </w:sdtPr>
            <w:sdtContent>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CLASSE  III  SEZ. </w:t>
                </w:r>
                <w:r w:rsidDel="00000000" w:rsidR="00000000" w:rsidRPr="00000000">
                  <w:rPr>
                    <w:rFonts w:ascii="Arial" w:cs="Arial" w:eastAsia="Arial" w:hAnsi="Arial"/>
                    <w:b w:val="1"/>
                    <w:sz w:val="24"/>
                    <w:szCs w:val="24"/>
                    <w:rtl w:val="0"/>
                  </w:rPr>
                  <w:t xml:space="preserve">C</w:t>
                </w:r>
                <w:r w:rsidDel="00000000" w:rsidR="00000000" w:rsidRPr="00000000">
                  <w:rPr>
                    <w:rtl w:val="0"/>
                  </w:rPr>
                </w:r>
              </w:p>
            </w:sdtContent>
          </w:sdt>
          <w:sdt>
            <w:sdtPr>
              <w:tag w:val="goog_rdk_16"/>
            </w:sdtPr>
            <w:sdtContent>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17"/>
            </w:sdtPr>
            <w:sdtContent>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MATERIA  CHIMICA e BIOLOGIA</w:t>
                </w:r>
                <w:r w:rsidDel="00000000" w:rsidR="00000000" w:rsidRPr="00000000">
                  <w:rPr>
                    <w:rtl w:val="0"/>
                  </w:rPr>
                </w:r>
              </w:p>
            </w:sdtContent>
          </w:sdt>
          <w:sdt>
            <w:sdtPr>
              <w:tag w:val="goog_rdk_18"/>
            </w:sdtPr>
            <w:sdtContent>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19"/>
            </w:sdtPr>
            <w:sdtContent>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PROF. Emanuela Benzoni</w:t>
                </w:r>
                <w:r w:rsidDel="00000000" w:rsidR="00000000" w:rsidRPr="00000000">
                  <w:rPr>
                    <w:rtl w:val="0"/>
                  </w:rPr>
                </w:r>
              </w:p>
            </w:sdtContent>
          </w:sdt>
          <w:sdt>
            <w:sdtPr>
              <w:tag w:val="goog_rdk_20"/>
            </w:sdtPr>
            <w:sdtContent>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tc>
      </w:tr>
      <w:tr>
        <w:trPr>
          <w:trHeight w:val="3000" w:hRule="atLeast"/>
        </w:trPr>
        <w:tc>
          <w:tcPr>
            <w:vAlign w:val="center"/>
          </w:tcPr>
          <w:sdt>
            <w:sdtPr>
              <w:tag w:val="goog_rdk_22"/>
            </w:sdtPr>
            <w:sdtContent>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CONTENUTI </w:t>
                </w:r>
              </w:p>
            </w:sdtContent>
          </w:sdt>
          <w:sdt>
            <w:sdtPr>
              <w:tag w:val="goog_rdk_23"/>
            </w:sdtPr>
            <w:sdtContent>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tc>
        <w:tc>
          <w:tcPr>
            <w:vAlign w:val="top"/>
          </w:tcPr>
          <w:sdt>
            <w:sdtPr>
              <w:tag w:val="goog_rdk_24"/>
            </w:sdtPr>
            <w:sdtContent>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sdtContent>
          </w:sdt>
          <w:sdt>
            <w:sdtPr>
              <w:tag w:val="goog_rdk_25"/>
            </w:sdtPr>
            <w:sdtContent>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CHIMICA</w:t>
                </w:r>
                <w:r w:rsidDel="00000000" w:rsidR="00000000" w:rsidRPr="00000000">
                  <w:rPr>
                    <w:rtl w:val="0"/>
                  </w:rPr>
                </w:r>
              </w:p>
            </w:sdtContent>
          </w:sdt>
          <w:sdt>
            <w:sdtPr>
              <w:tag w:val="goog_rdk_26"/>
            </w:sdtPr>
            <w:sdtContent>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sdtContent>
          </w:sdt>
          <w:sdt>
            <w:sdtPr>
              <w:tag w:val="goog_rdk_27"/>
            </w:sdtPr>
            <w:sdtContent>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Le particelle dell’atomo </w:t>
                </w:r>
                <w:r w:rsidDel="00000000" w:rsidR="00000000" w:rsidRPr="00000000">
                  <w:rPr>
                    <w:rtl w:val="0"/>
                  </w:rPr>
                </w:r>
              </w:p>
            </w:sdtContent>
          </w:sdt>
          <w:sdt>
            <w:sdtPr>
              <w:tag w:val="goog_rdk_28"/>
            </w:sdtPr>
            <w:sdtContent>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2235"/>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L’atomo: il componente fondamentale della materia. La materia e l’elettricità. Le particelle subatomiche: elettroni, protoni e neuroni. Numero atomico e numero di massa. Gli isotopi.</w:t>
                </w:r>
              </w:p>
            </w:sdtContent>
          </w:sdt>
          <w:sdt>
            <w:sdtPr>
              <w:tag w:val="goog_rdk_29"/>
            </w:sdtPr>
            <w:sdtContent>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2235"/>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30"/>
            </w:sdtPr>
            <w:sdtContent>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2235"/>
                  </w:tabs>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La struttura dell’atomo</w:t>
                </w:r>
                <w:r w:rsidDel="00000000" w:rsidR="00000000" w:rsidRPr="00000000">
                  <w:rPr>
                    <w:rtl w:val="0"/>
                  </w:rPr>
                </w:r>
              </w:p>
            </w:sdtContent>
          </w:sdt>
          <w:sdt>
            <w:sdtPr>
              <w:tag w:val="goog_rdk_31"/>
            </w:sdtPr>
            <w:sdtContent>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2235"/>
                  </w:tabs>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 primi modelli atomici: modello atomico di Dal ton, modello atomico di Thomson, modello atomico di Rutherford. La luce e la materia: la duplice natura della luce. La luce come onda elettromagnetica: lunghezza d’onda, ampiezza d’onda, frequenza e velocità di propagazione. Fenomeni ondulatori della luce: rifrazione, dispersione. Tipi di spettri: spettri di emissione e spettri di assorbimento. La luce: quanti di energia. L’effetto fotoelettrico e i quanti di energia. Il modello atomico di Bohr: I postulato e II postulato. Dall’atomo agli ioni: l’energia di ionizzazione e l’affinità elettronica. Livelli energetici. La duplice natura dell’elettrone. Le onde di materia di De Broglie. Il principio di indeterminazione di Heisenberg. Il concetto di orbitale (Schrodinger). Il principio di esclusione di Pauli. Gli orbitali e i loro numeri quantici. La varietà e l’energia degli</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orbitali. Distribuzione elettronica negli atomi degli elementi. Costruzione progressiva degli atomi e formula elettronica.</w:t>
                </w:r>
                <w:r w:rsidDel="00000000" w:rsidR="00000000" w:rsidRPr="00000000">
                  <w:rPr>
                    <w:rtl w:val="0"/>
                  </w:rPr>
                </w:r>
              </w:p>
            </w:sdtContent>
          </w:sdt>
          <w:sdt>
            <w:sdtPr>
              <w:tag w:val="goog_rdk_32"/>
            </w:sdtPr>
            <w:sdtContent>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33"/>
            </w:sdtPr>
            <w:sdtContent>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sdtContent>
          </w:sdt>
          <w:sdt>
            <w:sdtPr>
              <w:tag w:val="goog_rdk_34"/>
            </w:sdtPr>
            <w:sdtContent>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La Tavola periodica degli elementi</w:t>
                </w:r>
                <w:r w:rsidDel="00000000" w:rsidR="00000000" w:rsidRPr="00000000">
                  <w:rPr>
                    <w:rtl w:val="0"/>
                  </w:rPr>
                </w:r>
              </w:p>
            </w:sdtContent>
          </w:sdt>
          <w:sdt>
            <w:sdtPr>
              <w:tag w:val="goog_rdk_35"/>
            </w:sdtPr>
            <w:sdtContent>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Il Sistema Periodico moderno e il piano costruttivo della Tavola Periodica. Le principali proprietà degli elementi. Metalli,non metalli e semimetalli.</w:t>
                </w:r>
              </w:p>
            </w:sdtContent>
          </w:sdt>
          <w:sdt>
            <w:sdtPr>
              <w:tag w:val="goog_rdk_36"/>
            </w:sdtPr>
            <w:sdtContent>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37"/>
            </w:sdtPr>
            <w:sdtContent>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sdtContent>
          </w:sdt>
          <w:sdt>
            <w:sdtPr>
              <w:tag w:val="goog_rdk_38"/>
            </w:sdtPr>
            <w:sdtContent>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sdtContent>
          </w:sdt>
          <w:sdt>
            <w:sdtPr>
              <w:tag w:val="goog_rdk_39"/>
            </w:sdtPr>
            <w:sdtContent>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Il legame chimico</w:t>
                </w:r>
                <w:r w:rsidDel="00000000" w:rsidR="00000000" w:rsidRPr="00000000">
                  <w:rPr>
                    <w:rtl w:val="0"/>
                  </w:rPr>
                </w:r>
              </w:p>
            </w:sdtContent>
          </w:sdt>
          <w:sdt>
            <w:sdtPr>
              <w:tag w:val="goog_rdk_40"/>
            </w:sdtPr>
            <w:sdtContent>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legami chimici: che cosa sono e perché si formano. La teoria di Lewis e il legame covalente. L’elettronegatività e la natura dei legami. Il legame covalente puro o omopolare. Il legame covalente polare. Il legame ionico ed eteropolare. Il legame covalente dativo. Il legame metallico.</w:t>
                </w:r>
              </w:p>
            </w:sdtContent>
          </w:sdt>
          <w:sdt>
            <w:sdtPr>
              <w:tag w:val="goog_rdk_41"/>
            </w:sdtPr>
            <w:sdtContent>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42"/>
            </w:sdtPr>
            <w:sdtContent>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sdtContent>
          </w:sdt>
          <w:sdt>
            <w:sdtPr>
              <w:tag w:val="goog_rdk_43"/>
            </w:sdtPr>
            <w:sdtContent>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La forma delle molecole e le forze intermolecolari</w:t>
                </w:r>
                <w:r w:rsidDel="00000000" w:rsidR="00000000" w:rsidRPr="00000000">
                  <w:rPr>
                    <w:rtl w:val="0"/>
                  </w:rPr>
                </w:r>
              </w:p>
            </w:sdtContent>
          </w:sdt>
          <w:sdt>
            <w:sdtPr>
              <w:tag w:val="goog_rdk_44"/>
            </w:sdtPr>
            <w:sdtContent>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 legami intermolecolari: il legame idrogeno. Le proprietà fondamentali dell’acqua: tensione superficiale, coesione, densità e calore specifico.</w:t>
                </w:r>
              </w:p>
            </w:sdtContent>
          </w:sdt>
          <w:sdt>
            <w:sdtPr>
              <w:tag w:val="goog_rdk_45"/>
            </w:sdtPr>
            <w:sdtContent>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sdtContent>
          </w:sdt>
          <w:sdt>
            <w:sdtPr>
              <w:tag w:val="goog_rdk_46"/>
            </w:sdtPr>
            <w:sdtContent>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La nomenclatura chimica</w:t>
                </w:r>
                <w:r w:rsidDel="00000000" w:rsidR="00000000" w:rsidRPr="00000000">
                  <w:rPr>
                    <w:rtl w:val="0"/>
                  </w:rPr>
                </w:r>
              </w:p>
            </w:sdtContent>
          </w:sdt>
          <w:sdt>
            <w:sdtPr>
              <w:tag w:val="goog_rdk_47"/>
            </w:sdtPr>
            <w:sdtContent>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Il numero di ossidazione degli atomi nei composti. La formulazione dei composti in base ai numeri di ossidazione. Nomenclatura razionale IUPAC e nomenclatura tradizionale dei seguenti composti: composti binari senza ossigeno e composti che contengono ossigeno (binari e ternari), sali. Reazioni di formazione dei Sali. Risalire alla formula dal nome del composto e viceversa.</w:t>
                </w:r>
              </w:p>
            </w:sdtContent>
          </w:sdt>
          <w:sdt>
            <w:sdtPr>
              <w:tag w:val="goog_rdk_48"/>
            </w:sdtPr>
            <w:sdtContent>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49"/>
            </w:sdtPr>
            <w:sdtContent>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50"/>
            </w:sdtPr>
            <w:sdtContent>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51"/>
            </w:sdtPr>
            <w:sdtContent>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Minerali e rocce</w:t>
                </w:r>
                <w:r w:rsidDel="00000000" w:rsidR="00000000" w:rsidRPr="00000000">
                  <w:rPr>
                    <w:rtl w:val="0"/>
                  </w:rPr>
                </w:r>
              </w:p>
            </w:sdtContent>
          </w:sdt>
          <w:sdt>
            <w:sdtPr>
              <w:tag w:val="goog_rdk_52"/>
            </w:sdtPr>
            <w:sdtContent>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costituenti della crosta terrestre. I minerali. Le rocce. Rocce magmatiche o ignee. L’origine dei magmi. Rocce sedimentarie. Rocce metamorfiche. Il ciclo litogenetico.</w:t>
                </w:r>
              </w:p>
            </w:sdtContent>
          </w:sdt>
          <w:sdt>
            <w:sdtPr>
              <w:tag w:val="goog_rdk_53"/>
            </w:sdtPr>
            <w:sdtContent>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sdtContent>
          </w:sdt>
          <w:sdt>
            <w:sdtPr>
              <w:tag w:val="goog_rdk_54"/>
            </w:sdtPr>
            <w:sdtContent>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sdtContent>
          </w:sdt>
          <w:sdt>
            <w:sdtPr>
              <w:tag w:val="goog_rdk_55"/>
            </w:sdtPr>
            <w:sdtContent>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sdtContent>
          </w:sdt>
          <w:sdt>
            <w:sdtPr>
              <w:tag w:val="goog_rdk_56"/>
            </w:sdtPr>
            <w:sdtContent>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tc>
      </w:tr>
    </w:tbl>
    <w:sdt>
      <w:sdtPr>
        <w:tag w:val="goog_rdk_57"/>
      </w:sdtPr>
      <w:sdtContent>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58"/>
      </w:sdtPr>
      <w:sdtContent>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59"/>
      </w:sdtPr>
      <w:sdtContent>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dtContent>
    </w:sdt>
    <w:sdt>
      <w:sdtPr>
        <w:tag w:val="goog_rdk_60"/>
      </w:sdtPr>
      <w:sdtContent>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Lavoro estivo: ripasso degli argomenti studiati </w:t>
          </w:r>
        </w:p>
      </w:sdtContent>
    </w:sdt>
    <w:sdt>
      <w:sdtPr>
        <w:tag w:val="goog_rdk_61"/>
      </w:sdtPr>
      <w:sdtContent>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Lettura del Libro: il cucchiaio scomparso Sem Keam</w:t>
          </w:r>
        </w:p>
      </w:sdtContent>
    </w:sdt>
    <w:sectPr>
      <w:pgSz w:h="16839" w:w="11907"/>
      <w:pgMar w:bottom="899" w:top="719"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rFonts w:ascii="Arial" w:hAnsi="Arial"/>
      <w:w w:val="100"/>
      <w:position w:val="-1"/>
      <w:sz w:val="24"/>
      <w:szCs w:val="24"/>
      <w:effect w:val="none"/>
      <w:vertAlign w:val="baseline"/>
      <w:cs w:val="0"/>
      <w:em w:val="none"/>
      <w:lang w:bidi="ar-SA" w:eastAsia="it-IT" w:val="it-IT"/>
    </w:rPr>
  </w:style>
  <w:style w:type="paragraph" w:styleId="Titolo1">
    <w:name w:val="Titolo 1"/>
    <w:basedOn w:val="Normale"/>
    <w:next w:val="Normale"/>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Tahoma" w:cs="Tahoma" w:hAnsi="Tahoma"/>
      <w:b w:val="1"/>
      <w:bCs w:val="1"/>
      <w:w w:val="100"/>
      <w:position w:val="-1"/>
      <w:sz w:val="22"/>
      <w:szCs w:val="24"/>
      <w:effect w:val="none"/>
      <w:vertAlign w:val="baseline"/>
      <w:cs w:val="0"/>
      <w:em w:val="none"/>
      <w:lang w:bidi="ar-SA" w:eastAsia="it-IT" w:val="it-IT"/>
    </w:rPr>
  </w:style>
  <w:style w:type="paragraph" w:styleId="Titolo2">
    <w:name w:val="Titolo 2"/>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1"/>
    </w:pPr>
    <w:rPr>
      <w:rFonts w:ascii="Arial" w:hAnsi="Arial"/>
      <w:b w:val="1"/>
      <w:w w:val="100"/>
      <w:position w:val="-1"/>
      <w:sz w:val="20"/>
      <w:szCs w:val="20"/>
      <w:effect w:val="none"/>
      <w:vertAlign w:val="baseline"/>
      <w:cs w:val="0"/>
      <w:em w:val="none"/>
      <w:lang w:bidi="ar-SA" w:eastAsia="it-IT" w:val="it-IT"/>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2"/>
    </w:pPr>
    <w:rPr>
      <w:rFonts w:ascii="Arial" w:cs="Arial" w:hAnsi="Arial"/>
      <w:b w:val="1"/>
      <w:bCs w:val="1"/>
      <w:w w:val="100"/>
      <w:position w:val="-1"/>
      <w:sz w:val="24"/>
      <w:szCs w:val="24"/>
      <w:effect w:val="none"/>
      <w:vertAlign w:val="baseline"/>
      <w:cs w:val="0"/>
      <w:em w:val="none"/>
      <w:lang w:bidi="ar-SA" w:eastAsia="it-IT" w:val="it-IT"/>
    </w:rPr>
  </w:style>
  <w:style w:type="paragraph" w:styleId="Titolo5">
    <w:name w:val="Titolo 5"/>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4"/>
    </w:pPr>
    <w:rPr>
      <w:rFonts w:ascii="Times New Roman" w:hAnsi="Times New Roman"/>
      <w:b w:val="1"/>
      <w:w w:val="100"/>
      <w:position w:val="-1"/>
      <w:sz w:val="28"/>
      <w:szCs w:val="20"/>
      <w:effect w:val="none"/>
      <w:vertAlign w:val="baseline"/>
      <w:cs w:val="0"/>
      <w:em w:val="none"/>
      <w:lang w:bidi="ar-SA" w:eastAsia="it-IT" w:val="it-IT"/>
    </w:rPr>
  </w:style>
  <w:style w:type="paragraph" w:styleId="Titolo6">
    <w:name w:val="Titolo 6"/>
    <w:basedOn w:val="Normale"/>
    <w:next w:val="Normale"/>
    <w:autoRedefine w:val="0"/>
    <w:hidden w:val="0"/>
    <w:qFormat w:val="1"/>
    <w:pPr>
      <w:suppressAutoHyphens w:val="1"/>
      <w:spacing w:after="60" w:before="240" w:line="1" w:lineRule="atLeast"/>
      <w:ind w:leftChars="-1" w:rightChars="0" w:firstLineChars="-1"/>
      <w:textDirection w:val="btLr"/>
      <w:textAlignment w:val="top"/>
      <w:outlineLvl w:val="5"/>
    </w:pPr>
    <w:rPr>
      <w:rFonts w:ascii="Calibri" w:hAnsi="Calibri"/>
      <w:b w:val="1"/>
      <w:bCs w:val="1"/>
      <w:w w:val="100"/>
      <w:position w:val="-1"/>
      <w:sz w:val="22"/>
      <w:szCs w:val="22"/>
      <w:effect w:val="none"/>
      <w:vertAlign w:val="baseline"/>
      <w:cs w:val="0"/>
      <w:em w:val="none"/>
      <w:lang w:bidi="ar-SA" w:eastAsia="und" w:val="und"/>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paragraph" w:styleId="Corpotesto">
    <w:name w:val="Corpo testo"/>
    <w:basedOn w:val="Normale"/>
    <w:next w:val="Corpotesto"/>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b w:val="1"/>
      <w:bCs w:val="1"/>
      <w:w w:val="100"/>
      <w:position w:val="-1"/>
      <w:sz w:val="24"/>
      <w:szCs w:val="24"/>
      <w:effect w:val="none"/>
      <w:vertAlign w:val="baseline"/>
      <w:cs w:val="0"/>
      <w:em w:val="none"/>
      <w:lang w:bidi="ar-SA" w:eastAsia="it-IT" w:val="en-US"/>
    </w:rPr>
  </w:style>
  <w:style w:type="paragraph" w:styleId="Corpodeltesto2">
    <w:name w:val="Corpo del testo 2"/>
    <w:basedOn w:val="Normale"/>
    <w:next w:val="Corpodeltesto2"/>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22"/>
      <w:szCs w:val="24"/>
      <w:effect w:val="none"/>
      <w:vertAlign w:val="baseline"/>
      <w:cs w:val="0"/>
      <w:em w:val="none"/>
      <w:lang w:bidi="ar-SA" w:eastAsia="it-IT" w:val="it-IT"/>
    </w:rPr>
  </w:style>
  <w:style w:type="character" w:styleId="Collegamentoipertestuale">
    <w:name w:val="Collegamento ipertestuale"/>
    <w:next w:val="Collegamentoipertestuale"/>
    <w:autoRedefine w:val="0"/>
    <w:hidden w:val="0"/>
    <w:qFormat w:val="0"/>
    <w:rPr>
      <w:color w:val="0000ff"/>
      <w:w w:val="100"/>
      <w:position w:val="-1"/>
      <w:u w:val="single"/>
      <w:effect w:val="none"/>
      <w:vertAlign w:val="baseline"/>
      <w:cs w:val="0"/>
      <w:em w:val="none"/>
      <w:lang/>
    </w:rPr>
  </w:style>
  <w:style w:type="paragraph" w:styleId="Corpodeltesto3">
    <w:name w:val="Corpo del testo 3"/>
    <w:basedOn w:val="Normale"/>
    <w:next w:val="Corpodeltesto3"/>
    <w:autoRedefine w:val="0"/>
    <w:hidden w:val="0"/>
    <w:qFormat w:val="0"/>
    <w:pPr>
      <w:suppressAutoHyphens w:val="1"/>
      <w:spacing w:line="1" w:lineRule="atLeast"/>
      <w:ind w:leftChars="-1" w:rightChars="0" w:firstLineChars="-1"/>
      <w:textDirection w:val="btLr"/>
      <w:textAlignment w:val="top"/>
      <w:outlineLvl w:val="0"/>
    </w:pPr>
    <w:rPr>
      <w:rFonts w:ascii="Arial" w:hAnsi="Arial"/>
      <w:w w:val="100"/>
      <w:position w:val="-1"/>
      <w:sz w:val="22"/>
      <w:szCs w:val="20"/>
      <w:effect w:val="none"/>
      <w:vertAlign w:val="baseline"/>
      <w:cs w:val="0"/>
      <w:em w:val="none"/>
      <w:lang w:bidi="ar-SA" w:eastAsia="it-IT" w:val="it-IT"/>
    </w:rPr>
  </w:style>
  <w:style w:type="paragraph" w:styleId="Paragrafoelenco">
    <w:name w:val="Paragrafo elenco"/>
    <w:basedOn w:val="Normale"/>
    <w:next w:val="Paragrafoelenco"/>
    <w:autoRedefine w:val="0"/>
    <w:hidden w:val="0"/>
    <w:qFormat w:val="0"/>
    <w:pPr>
      <w:suppressAutoHyphens w:val="1"/>
      <w:spacing w:after="200" w:line="276" w:lineRule="auto"/>
      <w:ind w:left="720" w:leftChars="-1" w:rightChars="0" w:firstLineChars="-1"/>
      <w:textDirection w:val="btLr"/>
      <w:textAlignment w:val="top"/>
      <w:outlineLvl w:val="0"/>
    </w:pPr>
    <w:rPr>
      <w:rFonts w:ascii="Tahoma" w:cs="Tahoma" w:eastAsia="Calibri" w:hAnsi="Tahoma"/>
      <w:w w:val="100"/>
      <w:position w:val="-1"/>
      <w:sz w:val="24"/>
      <w:szCs w:val="20"/>
      <w:effect w:val="none"/>
      <w:vertAlign w:val="baseline"/>
      <w:cs w:val="0"/>
      <w:em w:val="none"/>
      <w:lang w:bidi="ar-SA" w:eastAsia="en-US" w:val="it-IT"/>
    </w:rPr>
  </w:style>
  <w:style w:type="paragraph" w:styleId="Pièdipagina">
    <w:name w:val="Piè di pagina"/>
    <w:basedOn w:val="Normale"/>
    <w:next w:val="Pièdipagina"/>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it-IT" w:val="it-IT"/>
    </w:rPr>
  </w:style>
  <w:style w:type="character" w:styleId="Titolo6Carattere">
    <w:name w:val="Titolo 6 Carattere"/>
    <w:next w:val="Titolo6Carattere"/>
    <w:autoRedefine w:val="0"/>
    <w:hidden w:val="0"/>
    <w:qFormat w:val="0"/>
    <w:rPr>
      <w:rFonts w:ascii="Calibri" w:cs="Times New Roman" w:eastAsia="Times New Roman" w:hAnsi="Calibri"/>
      <w:b w:val="1"/>
      <w:bCs w:val="1"/>
      <w:w w:val="100"/>
      <w:position w:val="-1"/>
      <w:sz w:val="22"/>
      <w:szCs w:val="22"/>
      <w:effect w:val="none"/>
      <w:vertAlign w:val="baseline"/>
      <w:cs w:val="0"/>
      <w:em w:val="none"/>
      <w:lang/>
    </w:rPr>
  </w:style>
  <w:style w:type="paragraph" w:styleId="Intestazione">
    <w:name w:val="Intestazione"/>
    <w:basedOn w:val="Normale"/>
    <w:next w:val="Intestazione"/>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und" w:val="und"/>
    </w:rPr>
  </w:style>
  <w:style w:type="character" w:styleId="IntestazioneCarattere">
    <w:name w:val="Intestazione Carattere"/>
    <w:next w:val="IntestazioneCarattere"/>
    <w:autoRedefine w:val="0"/>
    <w:hidden w:val="0"/>
    <w:qFormat w:val="0"/>
    <w:rPr>
      <w:w w:val="100"/>
      <w:position w:val="-1"/>
      <w:sz w:val="24"/>
      <w:szCs w:val="24"/>
      <w:effect w:val="none"/>
      <w:vertAlign w:val="baseline"/>
      <w:cs w:val="0"/>
      <w:em w:val="none"/>
      <w:lang/>
    </w:rPr>
  </w:style>
  <w:style w:type="paragraph" w:styleId="Testofumetto">
    <w:name w:val="Testo fumetto"/>
    <w:basedOn w:val="Normale"/>
    <w:next w:val="Testofumetto"/>
    <w:autoRedefine w:val="0"/>
    <w:hidden w:val="0"/>
    <w:qFormat w:val="1"/>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TestofumettoCarattere">
    <w:name w:val="Testo fumetto Carattere"/>
    <w:next w:val="TestofumettoCarattere"/>
    <w:autoRedefine w:val="0"/>
    <w:hidden w:val="0"/>
    <w:qFormat w:val="0"/>
    <w:rPr>
      <w:rFonts w:ascii="Tahoma" w:cs="Tahoma" w:hAnsi="Tahoma"/>
      <w:w w:val="100"/>
      <w:position w:val="-1"/>
      <w:sz w:val="16"/>
      <w:szCs w:val="16"/>
      <w:effect w:val="none"/>
      <w:vertAlign w:val="baseline"/>
      <w:cs w:val="0"/>
      <w:em w:val="none"/>
      <w:lang/>
    </w:rPr>
  </w:style>
  <w:style w:type="paragraph" w:styleId="Testonotaapièdipagina">
    <w:name w:val="Testo nota a piè di pagina"/>
    <w:basedOn w:val="Normale"/>
    <w:next w:val="Testonotaapièdipagina"/>
    <w:autoRedefine w:val="0"/>
    <w:hidden w:val="0"/>
    <w:qFormat w:val="0"/>
    <w:pPr>
      <w:suppressAutoHyphens w:val="1"/>
      <w:spacing w:line="1" w:lineRule="atLeast"/>
      <w:ind w:leftChars="-1" w:rightChars="0" w:firstLineChars="-1"/>
      <w:textDirection w:val="btLr"/>
      <w:textAlignment w:val="top"/>
      <w:outlineLvl w:val="0"/>
    </w:pPr>
    <w:rPr>
      <w:rFonts w:ascii="Times New Roman" w:hAnsi="Times New Roman"/>
      <w:w w:val="100"/>
      <w:position w:val="-1"/>
      <w:sz w:val="20"/>
      <w:szCs w:val="20"/>
      <w:effect w:val="none"/>
      <w:vertAlign w:val="baseline"/>
      <w:cs w:val="0"/>
      <w:em w:val="none"/>
      <w:lang w:bidi="ar-SA" w:eastAsia="it-IT" w:val="it-IT"/>
    </w:rPr>
  </w:style>
  <w:style w:type="character" w:styleId="TestonotaapièdipaginaCarattere">
    <w:name w:val="Testo nota a piè di pagina Carattere"/>
    <w:basedOn w:val="Car.predefinitoparagrafo"/>
    <w:next w:val="TestonotaapièdipaginaCarattere"/>
    <w:autoRedefine w:val="0"/>
    <w:hidden w:val="0"/>
    <w:qFormat w:val="0"/>
    <w:rPr>
      <w:w w:val="100"/>
      <w:position w:val="-1"/>
      <w:effect w:val="none"/>
      <w:vertAlign w:val="baseline"/>
      <w:cs w:val="0"/>
      <w:em w:val="none"/>
      <w:lang/>
    </w:rPr>
  </w:style>
  <w:style w:type="table" w:styleId="Grigliatabella">
    <w:name w:val="Griglia tabella"/>
    <w:basedOn w:val="Tabellanormale"/>
    <w:next w:val="Grigliatabell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Grigliatabella"/>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jpg"/><Relationship Id="rId9" Type="http://schemas.openxmlformats.org/officeDocument/2006/relationships/hyperlink" Target="mailto:bgpc02000c@pec.istruzione.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mailto:bgpc02000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RxFnbCmmVOY6WZAD8FL5c1IfBw==">AMUW2mUUW7n9/zReHdcKULZQztD4GPuWjdpiVeAqQ/g2MOAAq+MxYuD48IN/BhZxmC7ouOMsXF1JdsmcEVHPsV85b5TFSdUKxRRyyNpxJyztxZ07CH6APcAmm1X9k4FX1wz9fvqM3HxP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2018-06-13T13:52:00Z</dcterms:created>
  <dc:creator>vicario</dc:creator>
</cp:coreProperties>
</file>

<file path=docProps/custom.xml><?xml version="1.0" encoding="utf-8"?>
<Properties xmlns="http://schemas.openxmlformats.org/officeDocument/2006/custom-properties" xmlns:vt="http://schemas.openxmlformats.org/officeDocument/2006/docPropsVTypes"/>
</file>